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A2" w:rsidRDefault="00452490" w:rsidP="002300D9">
      <w:pPr>
        <w:spacing w:after="150" w:line="33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Příloha č. 3</w:t>
      </w:r>
      <w:bookmarkStart w:id="0" w:name="_GoBack"/>
      <w:bookmarkEnd w:id="0"/>
    </w:p>
    <w:p w:rsidR="002300D9" w:rsidRPr="002300D9" w:rsidRDefault="002300D9" w:rsidP="002300D9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Harmo</w:t>
      </w:r>
      <w:r w:rsidR="004760B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no</w:t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gram s</w:t>
      </w:r>
      <w:r w:rsidRPr="002300D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běr</w:t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u</w:t>
      </w:r>
      <w:r w:rsidRPr="002300D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odpadů z nádob:</w:t>
      </w: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819"/>
        <w:gridCol w:w="1820"/>
        <w:gridCol w:w="1638"/>
        <w:gridCol w:w="1456"/>
        <w:gridCol w:w="1577"/>
      </w:tblGrid>
      <w:tr w:rsidR="002300D9" w:rsidRPr="002300D9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pondělí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úterý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středa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čtvrtek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pátek</w:t>
            </w:r>
          </w:p>
        </w:tc>
      </w:tr>
      <w:tr w:rsidR="002300D9" w:rsidRPr="002300D9">
        <w:trPr>
          <w:tblCellSpacing w:w="0" w:type="dxa"/>
        </w:trPr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lichý týden</w:t>
            </w:r>
          </w:p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BIO*-bytové domy</w:t>
            </w: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cs-CZ"/>
              </w:rPr>
              <w:t>1)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BIO rod. domy 2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BIO </w:t>
            </w:r>
            <w:proofErr w:type="spellStart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rod.domy</w:t>
            </w:r>
            <w:proofErr w:type="spellEnd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BIO Těšov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SKO-bytové domy</w:t>
            </w: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cs-CZ"/>
              </w:rPr>
              <w:t>2)</w:t>
            </w:r>
          </w:p>
        </w:tc>
      </w:tr>
      <w:tr w:rsidR="002300D9" w:rsidRPr="002300D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BIO </w:t>
            </w:r>
            <w:proofErr w:type="spellStart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rod.domy</w:t>
            </w:r>
            <w:proofErr w:type="spellEnd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BIO Maršov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BIO Újezdec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BIO </w:t>
            </w:r>
            <w:proofErr w:type="spellStart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Havřice</w:t>
            </w:r>
            <w:proofErr w:type="spellEnd"/>
          </w:p>
        </w:tc>
      </w:tr>
      <w:tr w:rsidR="002300D9" w:rsidRPr="002300D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BIO </w:t>
            </w:r>
            <w:proofErr w:type="spellStart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Králov</w:t>
            </w:r>
            <w:proofErr w:type="spellEnd"/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2300D9" w:rsidRPr="002300D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D04CA2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</w:pPr>
            <w:r w:rsidRPr="00D04CA2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  <w:t>PAPÍR - kontejnery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D04CA2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</w:pPr>
            <w:r w:rsidRPr="00D04CA2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  <w:t>PLASTY - kontejnery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2300D9" w:rsidRPr="002300D9">
        <w:trPr>
          <w:tblCellSpacing w:w="0" w:type="dxa"/>
        </w:trPr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sudý týden</w:t>
            </w:r>
          </w:p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SKO rod. domy 2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SKO </w:t>
            </w:r>
            <w:proofErr w:type="spellStart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rod.domy</w:t>
            </w:r>
            <w:proofErr w:type="spellEnd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SKO Těšov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SKO-bytové domy</w:t>
            </w:r>
            <w:r w:rsidRPr="002300D9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cs-CZ"/>
              </w:rPr>
              <w:t>2)</w:t>
            </w:r>
          </w:p>
        </w:tc>
      </w:tr>
      <w:tr w:rsidR="002300D9" w:rsidRPr="002300D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SKO** </w:t>
            </w:r>
            <w:proofErr w:type="spellStart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rod.domy</w:t>
            </w:r>
            <w:proofErr w:type="spellEnd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SKO Maršov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SKO Újezdec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SKO </w:t>
            </w:r>
            <w:proofErr w:type="spellStart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Havřice</w:t>
            </w:r>
            <w:proofErr w:type="spellEnd"/>
          </w:p>
        </w:tc>
      </w:tr>
      <w:tr w:rsidR="002300D9" w:rsidRPr="002300D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SKO </w:t>
            </w:r>
            <w:proofErr w:type="spellStart"/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Králov</w:t>
            </w:r>
            <w:proofErr w:type="spellEnd"/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2300D9" w:rsidRPr="002300D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04CA2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  <w:t>PLASTY - kontejnery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0D9" w:rsidRPr="002300D9" w:rsidRDefault="002300D9" w:rsidP="002300D9">
            <w:pPr>
              <w:spacing w:after="150" w:line="33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00D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2300D9" w:rsidRPr="002300D9" w:rsidRDefault="002300D9" w:rsidP="002300D9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300D9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2300D9" w:rsidRDefault="002300D9" w:rsidP="002300D9">
      <w:pPr>
        <w:spacing w:after="150" w:line="336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2300D9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* biologicky rozložitelný odpad</w:t>
      </w:r>
      <w:r w:rsidRPr="002300D9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br/>
        <w:t>** směsný komunální odpad</w:t>
      </w:r>
    </w:p>
    <w:p w:rsidR="00175ADE" w:rsidRPr="00175ADE" w:rsidRDefault="00175ADE" w:rsidP="00175ADE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75ADE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1)</w:t>
      </w:r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 vývoz bioodpadů se přes chladné zimní období i přes horké letní období upravuje dle potřeby</w:t>
      </w:r>
      <w:r w:rsidRPr="00175ADE">
        <w:rPr>
          <w:rFonts w:ascii="Arial" w:eastAsia="Times New Roman" w:hAnsi="Arial" w:cs="Arial"/>
          <w:sz w:val="20"/>
          <w:szCs w:val="20"/>
          <w:lang w:eastAsia="cs-CZ"/>
        </w:rPr>
        <w:br/>
      </w:r>
      <w:r w:rsidRPr="00175ADE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2)</w:t>
      </w:r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 bytové domy = stanoviště nádob na SKO o obsahu 1100 l</w:t>
      </w:r>
      <w:r w:rsidRPr="00175ADE">
        <w:rPr>
          <w:rFonts w:ascii="Arial" w:eastAsia="Times New Roman" w:hAnsi="Arial" w:cs="Arial"/>
          <w:sz w:val="20"/>
          <w:szCs w:val="20"/>
          <w:lang w:eastAsia="cs-CZ"/>
        </w:rPr>
        <w:br/>
      </w:r>
      <w:r w:rsidRPr="00175ADE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3)</w:t>
      </w:r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 vývoz plastů z nádob se přes chladné období upravuje dle potřeby</w:t>
      </w:r>
    </w:p>
    <w:p w:rsidR="00175ADE" w:rsidRPr="00175ADE" w:rsidRDefault="00175ADE" w:rsidP="00175ADE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75AD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rodinné domy 1 = </w:t>
      </w:r>
    </w:p>
    <w:p w:rsidR="00175ADE" w:rsidRPr="00175ADE" w:rsidRDefault="00175ADE" w:rsidP="00175ADE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Ulice 28. října, Bří Lužů, Dolní Valy, Emila Háby,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Frant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. Veselky, Hodinářská, Horní Valy, Kpt. Kubíčka, Lidická, Maršovská, Masarykovo nám., Močidla, Naardenská, Na Tržišti, Nám. Svobody, Nerudova, Pecháčkova, Pod Valy,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Pořádí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Prakšická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, Prim. Hájka,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Předbranská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>, Rtm. Křivdy, Rybářská, Soukenická, Strojařů, Šumická, U Cihelny, U Elektrárny, U Fortny, U Hřiště, U Lapače, U Plovárny, U Sboru, U Žlebu, Úlehly, Vilibalda Růžičky, Za Humny</w:t>
      </w:r>
    </w:p>
    <w:p w:rsidR="00175ADE" w:rsidRPr="00175ADE" w:rsidRDefault="00175ADE" w:rsidP="00175ADE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75AD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rodinné domy 2 =</w:t>
      </w:r>
    </w:p>
    <w:p w:rsidR="00175ADE" w:rsidRPr="00175ADE" w:rsidRDefault="00175ADE" w:rsidP="00175ADE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Ulice 9. května, Ant. Dvořáka, B. Němcové, B. Smetany, Františka Bára, Františka Janáčka, Františka Kožíka, Havlíčkova, Hradební, Hradišťská, Jabloňová, Jana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Švermy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, Jaroslava Hlobila, Ječná, Jirásková, Josefa Herčíka, Karla IV., Komenského, Květná, M. Alše, Malá, Mariánské nám., Moravská, Na Dlouhých, Na Chmelnici, Na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Láně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, Na Výsluní, Palackého, Prosná,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Ptylova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, Sadová,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Seichertova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, Svatopluka Čecha, Tovární, U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Korečnice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>, U Stadionu, Údolní, Weberova, Žitná</w:t>
      </w:r>
    </w:p>
    <w:p w:rsidR="00175ADE" w:rsidRPr="00175ADE" w:rsidRDefault="00175ADE" w:rsidP="00175ADE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75AD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rodinné domy 3 =</w:t>
      </w:r>
    </w:p>
    <w:p w:rsidR="00175ADE" w:rsidRPr="00175ADE" w:rsidRDefault="00175ADE" w:rsidP="00175ADE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75ADE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26. dubna, Dělnická,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Javořinská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>, Kučerovo nám., Lipová, Nivnická, Nová, Pastýřská, Pod Zelnicemi, Polní,</w:t>
      </w:r>
    </w:p>
    <w:p w:rsidR="00175ADE" w:rsidRPr="00175ADE" w:rsidRDefault="00175ADE" w:rsidP="00175ADE">
      <w:pPr>
        <w:spacing w:after="150" w:line="336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Prostřední,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Provazní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, Rolnická, Slovácká,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Stolářská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, Trávníky, U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Bajovce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 xml:space="preserve">, U Cukrovaru, U </w:t>
      </w:r>
      <w:proofErr w:type="spellStart"/>
      <w:r w:rsidRPr="00175ADE">
        <w:rPr>
          <w:rFonts w:ascii="Arial" w:eastAsia="Times New Roman" w:hAnsi="Arial" w:cs="Arial"/>
          <w:sz w:val="20"/>
          <w:szCs w:val="20"/>
          <w:lang w:eastAsia="cs-CZ"/>
        </w:rPr>
        <w:t>Korečnice</w:t>
      </w:r>
      <w:proofErr w:type="spellEnd"/>
      <w:r w:rsidRPr="00175ADE">
        <w:rPr>
          <w:rFonts w:ascii="Arial" w:eastAsia="Times New Roman" w:hAnsi="Arial" w:cs="Arial"/>
          <w:sz w:val="20"/>
          <w:szCs w:val="20"/>
          <w:lang w:eastAsia="cs-CZ"/>
        </w:rPr>
        <w:t>, U Olšavy, U Porážky, U Školky, U Vody, Vazová, Vlčnovská, Zahradní, Zámostí, Zátiší</w:t>
      </w:r>
    </w:p>
    <w:p w:rsidR="00175ADE" w:rsidRPr="002300D9" w:rsidRDefault="00175ADE" w:rsidP="002300D9">
      <w:pPr>
        <w:spacing w:after="150" w:line="336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D35C27" w:rsidRDefault="00D35C27"/>
    <w:sectPr w:rsidR="00D35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D9"/>
    <w:rsid w:val="00175ADE"/>
    <w:rsid w:val="002300D9"/>
    <w:rsid w:val="00452490"/>
    <w:rsid w:val="004760B8"/>
    <w:rsid w:val="00D04CA2"/>
    <w:rsid w:val="00D3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2300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230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Štěpančíková Taťána, Ing.</dc:creator>
  <cp:lastModifiedBy>Štěpančíková Taťána, Ing.</cp:lastModifiedBy>
  <cp:revision>5</cp:revision>
  <cp:lastPrinted>2018-05-25T08:21:00Z</cp:lastPrinted>
  <dcterms:created xsi:type="dcterms:W3CDTF">2018-05-16T12:21:00Z</dcterms:created>
  <dcterms:modified xsi:type="dcterms:W3CDTF">2019-03-27T09:15:00Z</dcterms:modified>
</cp:coreProperties>
</file>